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F5C9E" w:rsidRPr="00BF5C9E" w14:paraId="0CEEC97A" w14:textId="77777777" w:rsidTr="00BF5C9E">
        <w:trPr>
          <w:tblCellSpacing w:w="0" w:type="dxa"/>
        </w:trPr>
        <w:tc>
          <w:tcPr>
            <w:tcW w:w="3348" w:type="dxa"/>
            <w:shd w:val="clear" w:color="auto" w:fill="FFFFFF"/>
            <w:tcMar>
              <w:top w:w="0" w:type="dxa"/>
              <w:left w:w="108" w:type="dxa"/>
              <w:bottom w:w="0" w:type="dxa"/>
              <w:right w:w="108" w:type="dxa"/>
            </w:tcMar>
            <w:hideMark/>
          </w:tcPr>
          <w:p w14:paraId="03E9A0D6" w14:textId="77777777" w:rsidR="00BF5C9E" w:rsidRPr="00BF5C9E" w:rsidRDefault="00BF5C9E" w:rsidP="006C392D">
            <w:pPr>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HỘI ĐỒNG NHÂN DÂN</w:t>
            </w:r>
            <w:r w:rsidRPr="00BF5C9E">
              <w:rPr>
                <w:rFonts w:asciiTheme="majorHAnsi" w:eastAsia="Times New Roman" w:hAnsiTheme="majorHAnsi" w:cstheme="majorHAnsi"/>
                <w:b/>
                <w:bCs/>
                <w:color w:val="000000"/>
                <w:sz w:val="26"/>
                <w:szCs w:val="26"/>
                <w:lang w:eastAsia="vi-VN"/>
              </w:rPr>
              <w:br/>
              <w:t>TỈNH THỪA THIÊN HUẾ</w:t>
            </w:r>
            <w:r w:rsidRPr="00BF5C9E">
              <w:rPr>
                <w:rFonts w:asciiTheme="majorHAnsi" w:eastAsia="Times New Roman" w:hAnsiTheme="majorHAnsi" w:cstheme="majorHAnsi"/>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14:paraId="34CBE3CC" w14:textId="77777777" w:rsidR="00BF5C9E" w:rsidRPr="00BF5C9E" w:rsidRDefault="00BF5C9E" w:rsidP="006C392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CỘNG HÒA XÃ HỘI CHỦ NGHĨA VIỆT NAM</w:t>
            </w:r>
            <w:r w:rsidRPr="00BF5C9E">
              <w:rPr>
                <w:rFonts w:asciiTheme="majorHAnsi" w:eastAsia="Times New Roman" w:hAnsiTheme="majorHAnsi" w:cstheme="majorHAnsi"/>
                <w:b/>
                <w:bCs/>
                <w:color w:val="000000"/>
                <w:sz w:val="26"/>
                <w:szCs w:val="26"/>
                <w:lang w:eastAsia="vi-VN"/>
              </w:rPr>
              <w:br/>
              <w:t>Độc lập - Tự do - Hạnh phúc</w:t>
            </w:r>
            <w:r w:rsidRPr="00BF5C9E">
              <w:rPr>
                <w:rFonts w:asciiTheme="majorHAnsi" w:eastAsia="Times New Roman" w:hAnsiTheme="majorHAnsi" w:cstheme="majorHAnsi"/>
                <w:b/>
                <w:bCs/>
                <w:color w:val="000000"/>
                <w:sz w:val="26"/>
                <w:szCs w:val="26"/>
                <w:lang w:eastAsia="vi-VN"/>
              </w:rPr>
              <w:br/>
              <w:t>---------------</w:t>
            </w:r>
          </w:p>
        </w:tc>
      </w:tr>
      <w:tr w:rsidR="00BF5C9E" w:rsidRPr="00BF5C9E" w14:paraId="4913FD68" w14:textId="77777777" w:rsidTr="00BF5C9E">
        <w:trPr>
          <w:tblCellSpacing w:w="0" w:type="dxa"/>
        </w:trPr>
        <w:tc>
          <w:tcPr>
            <w:tcW w:w="3348" w:type="dxa"/>
            <w:shd w:val="clear" w:color="auto" w:fill="FFFFFF"/>
            <w:tcMar>
              <w:top w:w="0" w:type="dxa"/>
              <w:left w:w="108" w:type="dxa"/>
              <w:bottom w:w="0" w:type="dxa"/>
              <w:right w:w="108" w:type="dxa"/>
            </w:tcMar>
            <w:hideMark/>
          </w:tcPr>
          <w:p w14:paraId="3FB401EC"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Số: </w:t>
            </w:r>
            <w:r w:rsidRPr="00BF5C9E">
              <w:rPr>
                <w:rFonts w:asciiTheme="majorHAnsi" w:eastAsia="Times New Roman" w:hAnsiTheme="majorHAnsi" w:cstheme="majorHAnsi"/>
                <w:color w:val="000000"/>
                <w:sz w:val="26"/>
                <w:szCs w:val="26"/>
                <w:lang w:val="en-US" w:eastAsia="vi-VN"/>
              </w:rPr>
              <w:t>07</w:t>
            </w:r>
            <w:r w:rsidRPr="00BF5C9E">
              <w:rPr>
                <w:rFonts w:asciiTheme="majorHAnsi" w:eastAsia="Times New Roman" w:hAnsiTheme="majorHAnsi" w:cstheme="majorHAnsi"/>
                <w:color w:val="000000"/>
                <w:sz w:val="26"/>
                <w:szCs w:val="26"/>
                <w:lang w:eastAsia="vi-VN"/>
              </w:rPr>
              <w:t>/2020/NQ-HĐND</w:t>
            </w:r>
          </w:p>
        </w:tc>
        <w:tc>
          <w:tcPr>
            <w:tcW w:w="5508" w:type="dxa"/>
            <w:shd w:val="clear" w:color="auto" w:fill="FFFFFF"/>
            <w:tcMar>
              <w:top w:w="0" w:type="dxa"/>
              <w:left w:w="108" w:type="dxa"/>
              <w:bottom w:w="0" w:type="dxa"/>
              <w:right w:w="108" w:type="dxa"/>
            </w:tcMar>
            <w:hideMark/>
          </w:tcPr>
          <w:p w14:paraId="77BA81D7" w14:textId="03F705AE"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6C392D">
              <w:rPr>
                <w:rFonts w:asciiTheme="majorHAnsi" w:eastAsia="Times New Roman" w:hAnsiTheme="majorHAnsi" w:cstheme="majorHAnsi"/>
                <w:i/>
                <w:iCs/>
                <w:color w:val="000000"/>
                <w:sz w:val="26"/>
                <w:szCs w:val="26"/>
                <w:lang w:val="en-US" w:eastAsia="vi-VN"/>
              </w:rPr>
              <w:t xml:space="preserve">                 </w:t>
            </w:r>
            <w:r w:rsidRPr="00BF5C9E">
              <w:rPr>
                <w:rFonts w:asciiTheme="majorHAnsi" w:eastAsia="Times New Roman" w:hAnsiTheme="majorHAnsi" w:cstheme="majorHAnsi"/>
                <w:i/>
                <w:iCs/>
                <w:color w:val="000000"/>
                <w:sz w:val="26"/>
                <w:szCs w:val="26"/>
                <w:lang w:eastAsia="vi-VN"/>
              </w:rPr>
              <w:t>Thừa Thiên Huế, ngày 14 tháng 7 năm 2020</w:t>
            </w:r>
          </w:p>
        </w:tc>
      </w:tr>
    </w:tbl>
    <w:p w14:paraId="1EED52A1"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p w14:paraId="1187A7C8"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NGHỊ QUYẾT</w:t>
      </w:r>
    </w:p>
    <w:p w14:paraId="1C3C6D77"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QUY ĐỊNH MỨC THU HỌC PHÍ CỦA CƠ SỞ GIÁO DỤC MẦM NON VÀ PHỔ THÔNG CÔNG LẬP ĐỐI VỚI CHƯƠNG TRÌNH ĐẠI TRÀ TRÊN ĐỊA BÀN TỈNH THỪA THIÊN HUẾ NĂM HỌC 2020 - 2021</w:t>
      </w:r>
    </w:p>
    <w:p w14:paraId="55401E7C"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HỘI ĐỒNG NHÂN DÂN TỈNH THỪA THIÊN HUẾ</w:t>
      </w:r>
      <w:r w:rsidRPr="00BF5C9E">
        <w:rPr>
          <w:rFonts w:asciiTheme="majorHAnsi" w:eastAsia="Times New Roman" w:hAnsiTheme="majorHAnsi" w:cstheme="majorHAnsi"/>
          <w:b/>
          <w:bCs/>
          <w:color w:val="000000"/>
          <w:sz w:val="26"/>
          <w:szCs w:val="26"/>
          <w:lang w:eastAsia="vi-VN"/>
        </w:rPr>
        <w:br/>
        <w:t>KHÓA VII, KỲ HỌP LẦN THỨ 10</w:t>
      </w:r>
    </w:p>
    <w:p w14:paraId="17DE53FD"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Luật Tổ chức chính quyền địa phương ngày 19 tháng 6 năm 2015;</w:t>
      </w:r>
    </w:p>
    <w:p w14:paraId="4748DBB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Luật Giáo dục ngày 14 tháng 6 năm 2019;</w:t>
      </w:r>
    </w:p>
    <w:p w14:paraId="5120D36A"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735B79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1754D8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Thông tư liên tịch số 09/2016/TTLT-BGDĐT-BTC-BLĐTBXH ngày 30 tháng 3 năm 2016 của liên Bộ Giáo dục và Đào tạo - Bộ Tài chính -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764F1CFE" w14:textId="54182EEA" w:rsidR="006C392D" w:rsidRPr="00BF5C9E" w:rsidRDefault="00BF5C9E" w:rsidP="00BF5C9E">
      <w:pPr>
        <w:shd w:val="clear" w:color="auto" w:fill="FFFFFF"/>
        <w:spacing w:before="120" w:after="120" w:line="234" w:lineRule="atLeast"/>
        <w:rPr>
          <w:rFonts w:asciiTheme="majorHAnsi" w:eastAsia="Times New Roman" w:hAnsiTheme="majorHAnsi" w:cstheme="majorHAnsi"/>
          <w:i/>
          <w:iCs/>
          <w:color w:val="000000"/>
          <w:sz w:val="26"/>
          <w:szCs w:val="26"/>
          <w:lang w:eastAsia="vi-VN"/>
        </w:rPr>
      </w:pPr>
      <w:r w:rsidRPr="00BF5C9E">
        <w:rPr>
          <w:rFonts w:asciiTheme="majorHAnsi" w:eastAsia="Times New Roman" w:hAnsiTheme="majorHAnsi" w:cstheme="majorHAnsi"/>
          <w:i/>
          <w:iCs/>
          <w:color w:val="000000"/>
          <w:sz w:val="26"/>
          <w:szCs w:val="26"/>
          <w:lang w:eastAsia="vi-VN"/>
        </w:rPr>
        <w:t>Xét Tờ trình số 5257/TTr-UBND ngày 20 tháng 6 năm 2020 của Ủy ban nhân dân tỉnh về việc đề nghị ban hành Nghị quyết: “Quy định mức thu học phí của cơ sở giáo dục mầm non và phổ thông công lập đối với chương trình đại trà trên địa bàn tỉnh Thừa Thiên Huế năm học 2020 - 2021”; Báo cáo thẩm tra của Ban văn hóa - xã hội và ý kiến thảo luận của đại biểu Hội đồng nhân dân tại kỳ họp,</w:t>
      </w:r>
    </w:p>
    <w:p w14:paraId="5E7AA06E" w14:textId="4D721109" w:rsidR="00BF5C9E" w:rsidRPr="006C392D" w:rsidRDefault="00BF5C9E" w:rsidP="00BF5C9E">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r w:rsidRPr="00BF5C9E">
        <w:rPr>
          <w:rFonts w:asciiTheme="majorHAnsi" w:eastAsia="Times New Roman" w:hAnsiTheme="majorHAnsi" w:cstheme="majorHAnsi"/>
          <w:b/>
          <w:bCs/>
          <w:color w:val="000000"/>
          <w:sz w:val="26"/>
          <w:szCs w:val="26"/>
          <w:lang w:eastAsia="vi-VN"/>
        </w:rPr>
        <w:t>QUYẾT NGHỊ:</w:t>
      </w:r>
    </w:p>
    <w:p w14:paraId="21697FD8"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Điều 1. Quy định mức thu học phí của cơ sở giáo dục mầm non và phổ thông công lập đối với chương trình đại trà trên địa bàn tỉnh Thừa Thiên Huế năm học 2020 - 2021 như sau:</w:t>
      </w:r>
    </w:p>
    <w:p w14:paraId="675A39D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lastRenderedPageBreak/>
        <w:t>1. Mức thu học phí:</w:t>
      </w:r>
    </w:p>
    <w:p w14:paraId="0B68D12F"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Đơn vị tính: 1.000 đồng/học sinh/tháng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3493"/>
        <w:gridCol w:w="827"/>
        <w:gridCol w:w="1102"/>
        <w:gridCol w:w="827"/>
        <w:gridCol w:w="1194"/>
        <w:gridCol w:w="919"/>
      </w:tblGrid>
      <w:tr w:rsidR="00BF5C9E" w:rsidRPr="00BF5C9E" w14:paraId="2D4EC9BE" w14:textId="77777777" w:rsidTr="00BF5C9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F2DABC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STT</w:t>
            </w:r>
          </w:p>
        </w:tc>
        <w:tc>
          <w:tcPr>
            <w:tcW w:w="1900" w:type="pct"/>
            <w:vMerge w:val="restart"/>
            <w:tcBorders>
              <w:top w:val="single" w:sz="8" w:space="0" w:color="auto"/>
              <w:left w:val="nil"/>
              <w:bottom w:val="single" w:sz="8" w:space="0" w:color="auto"/>
              <w:right w:val="single" w:sz="8" w:space="0" w:color="auto"/>
            </w:tcBorders>
            <w:shd w:val="clear" w:color="auto" w:fill="FFFFFF"/>
            <w:vAlign w:val="center"/>
            <w:hideMark/>
          </w:tcPr>
          <w:p w14:paraId="2623B18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Cấp học</w:t>
            </w:r>
          </w:p>
          <w:p w14:paraId="425D9541"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Khu vực</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14:paraId="1B33ADF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M</w:t>
            </w:r>
            <w:r w:rsidRPr="00BF5C9E">
              <w:rPr>
                <w:rFonts w:asciiTheme="majorHAnsi" w:eastAsia="Times New Roman" w:hAnsiTheme="majorHAnsi" w:cstheme="majorHAnsi"/>
                <w:color w:val="000000"/>
                <w:sz w:val="26"/>
                <w:szCs w:val="26"/>
                <w:lang w:val="en-US" w:eastAsia="vi-VN"/>
              </w:rPr>
              <w:t>ầ</w:t>
            </w:r>
            <w:r w:rsidRPr="00BF5C9E">
              <w:rPr>
                <w:rFonts w:asciiTheme="majorHAnsi" w:eastAsia="Times New Roman" w:hAnsiTheme="majorHAnsi" w:cstheme="majorHAnsi"/>
                <w:color w:val="000000"/>
                <w:sz w:val="26"/>
                <w:szCs w:val="26"/>
                <w:lang w:eastAsia="vi-VN"/>
              </w:rPr>
              <w:t>m non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28A59DE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cơ sở</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14:paraId="74A81B4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cơ sở có học nghề</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702A997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phổ thông</w:t>
            </w:r>
          </w:p>
        </w:tc>
      </w:tr>
      <w:tr w:rsidR="00BF5C9E" w:rsidRPr="00BF5C9E" w14:paraId="6065D7FE" w14:textId="77777777" w:rsidTr="00BF5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9E5192"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AC15D2"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3ACDF39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Bán trú</w:t>
            </w:r>
          </w:p>
        </w:tc>
        <w:tc>
          <w:tcPr>
            <w:tcW w:w="600" w:type="pct"/>
            <w:tcBorders>
              <w:top w:val="nil"/>
              <w:left w:val="nil"/>
              <w:bottom w:val="single" w:sz="8" w:space="0" w:color="auto"/>
              <w:right w:val="single" w:sz="8" w:space="0" w:color="auto"/>
            </w:tcBorders>
            <w:shd w:val="clear" w:color="auto" w:fill="FFFFFF"/>
            <w:vAlign w:val="center"/>
            <w:hideMark/>
          </w:tcPr>
          <w:p w14:paraId="0A0649E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Không bán trú</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E4D4A21"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21A476"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AF1FDB"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r>
      <w:tr w:rsidR="00BF5C9E" w:rsidRPr="00BF5C9E" w14:paraId="56415D05"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E1C176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I</w:t>
            </w:r>
          </w:p>
        </w:tc>
        <w:tc>
          <w:tcPr>
            <w:tcW w:w="1900" w:type="pct"/>
            <w:tcBorders>
              <w:top w:val="nil"/>
              <w:left w:val="nil"/>
              <w:bottom w:val="single" w:sz="8" w:space="0" w:color="auto"/>
              <w:right w:val="single" w:sz="8" w:space="0" w:color="auto"/>
            </w:tcBorders>
            <w:shd w:val="clear" w:color="auto" w:fill="FFFFFF"/>
            <w:hideMark/>
          </w:tcPr>
          <w:p w14:paraId="56BA5BA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Thành thị</w:t>
            </w:r>
          </w:p>
        </w:tc>
        <w:tc>
          <w:tcPr>
            <w:tcW w:w="450" w:type="pct"/>
            <w:tcBorders>
              <w:top w:val="nil"/>
              <w:left w:val="nil"/>
              <w:bottom w:val="single" w:sz="8" w:space="0" w:color="auto"/>
              <w:right w:val="single" w:sz="8" w:space="0" w:color="auto"/>
            </w:tcBorders>
            <w:shd w:val="clear" w:color="auto" w:fill="FFFFFF"/>
            <w:hideMark/>
          </w:tcPr>
          <w:p w14:paraId="465AE6F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285B6EA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56B06C6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493BC20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148F3DC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50ABFAC7"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49A7A5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5553EFD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phường thuộc thành phố Huế</w:t>
            </w:r>
          </w:p>
        </w:tc>
        <w:tc>
          <w:tcPr>
            <w:tcW w:w="450" w:type="pct"/>
            <w:tcBorders>
              <w:top w:val="nil"/>
              <w:left w:val="nil"/>
              <w:bottom w:val="single" w:sz="8" w:space="0" w:color="auto"/>
              <w:right w:val="single" w:sz="8" w:space="0" w:color="auto"/>
            </w:tcBorders>
            <w:shd w:val="clear" w:color="auto" w:fill="FFFFFF"/>
            <w:hideMark/>
          </w:tcPr>
          <w:p w14:paraId="1024C03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166</w:t>
            </w:r>
          </w:p>
        </w:tc>
        <w:tc>
          <w:tcPr>
            <w:tcW w:w="600" w:type="pct"/>
            <w:tcBorders>
              <w:top w:val="nil"/>
              <w:left w:val="nil"/>
              <w:bottom w:val="single" w:sz="8" w:space="0" w:color="auto"/>
              <w:right w:val="single" w:sz="8" w:space="0" w:color="auto"/>
            </w:tcBorders>
            <w:shd w:val="clear" w:color="auto" w:fill="FFFFFF"/>
            <w:hideMark/>
          </w:tcPr>
          <w:p w14:paraId="6CEF68F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110</w:t>
            </w:r>
          </w:p>
        </w:tc>
        <w:tc>
          <w:tcPr>
            <w:tcW w:w="450" w:type="pct"/>
            <w:tcBorders>
              <w:top w:val="nil"/>
              <w:left w:val="nil"/>
              <w:bottom w:val="single" w:sz="8" w:space="0" w:color="auto"/>
              <w:right w:val="single" w:sz="8" w:space="0" w:color="auto"/>
            </w:tcBorders>
            <w:shd w:val="clear" w:color="auto" w:fill="FFFFFF"/>
            <w:hideMark/>
          </w:tcPr>
          <w:p w14:paraId="379A4A7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86</w:t>
            </w:r>
          </w:p>
        </w:tc>
        <w:tc>
          <w:tcPr>
            <w:tcW w:w="650" w:type="pct"/>
            <w:tcBorders>
              <w:top w:val="nil"/>
              <w:left w:val="nil"/>
              <w:bottom w:val="single" w:sz="8" w:space="0" w:color="auto"/>
              <w:right w:val="single" w:sz="8" w:space="0" w:color="auto"/>
            </w:tcBorders>
            <w:shd w:val="clear" w:color="auto" w:fill="FFFFFF"/>
            <w:hideMark/>
          </w:tcPr>
          <w:p w14:paraId="3527410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105</w:t>
            </w:r>
          </w:p>
        </w:tc>
        <w:tc>
          <w:tcPr>
            <w:tcW w:w="500" w:type="pct"/>
            <w:tcBorders>
              <w:top w:val="nil"/>
              <w:left w:val="nil"/>
              <w:bottom w:val="single" w:sz="8" w:space="0" w:color="auto"/>
              <w:right w:val="single" w:sz="8" w:space="0" w:color="auto"/>
            </w:tcBorders>
            <w:shd w:val="clear" w:color="auto" w:fill="FFFFFF"/>
            <w:hideMark/>
          </w:tcPr>
          <w:p w14:paraId="3DF73B5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90</w:t>
            </w:r>
          </w:p>
        </w:tc>
      </w:tr>
      <w:tr w:rsidR="00BF5C9E" w:rsidRPr="00BF5C9E" w14:paraId="7770D190"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C0886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vAlign w:val="center"/>
            <w:hideMark/>
          </w:tcPr>
          <w:p w14:paraId="253D7E4F"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phường thuộc thị xã Hương Thủy và thị xã Hương Trà</w:t>
            </w:r>
          </w:p>
        </w:tc>
        <w:tc>
          <w:tcPr>
            <w:tcW w:w="450" w:type="pct"/>
            <w:tcBorders>
              <w:top w:val="nil"/>
              <w:left w:val="nil"/>
              <w:bottom w:val="single" w:sz="8" w:space="0" w:color="auto"/>
              <w:right w:val="single" w:sz="8" w:space="0" w:color="auto"/>
            </w:tcBorders>
            <w:shd w:val="clear" w:color="auto" w:fill="FFFFFF"/>
            <w:vAlign w:val="center"/>
            <w:hideMark/>
          </w:tcPr>
          <w:p w14:paraId="43235AA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106</w:t>
            </w:r>
          </w:p>
        </w:tc>
        <w:tc>
          <w:tcPr>
            <w:tcW w:w="600" w:type="pct"/>
            <w:tcBorders>
              <w:top w:val="nil"/>
              <w:left w:val="nil"/>
              <w:bottom w:val="single" w:sz="8" w:space="0" w:color="auto"/>
              <w:right w:val="single" w:sz="8" w:space="0" w:color="auto"/>
            </w:tcBorders>
            <w:shd w:val="clear" w:color="auto" w:fill="FFFFFF"/>
            <w:vAlign w:val="center"/>
            <w:hideMark/>
          </w:tcPr>
          <w:p w14:paraId="3E5A0DE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79</w:t>
            </w:r>
          </w:p>
        </w:tc>
        <w:tc>
          <w:tcPr>
            <w:tcW w:w="450" w:type="pct"/>
            <w:tcBorders>
              <w:top w:val="nil"/>
              <w:left w:val="nil"/>
              <w:bottom w:val="single" w:sz="8" w:space="0" w:color="auto"/>
              <w:right w:val="single" w:sz="8" w:space="0" w:color="auto"/>
            </w:tcBorders>
            <w:shd w:val="clear" w:color="auto" w:fill="FFFFFF"/>
            <w:vAlign w:val="center"/>
            <w:hideMark/>
          </w:tcPr>
          <w:p w14:paraId="1FD4A1E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66</w:t>
            </w:r>
          </w:p>
        </w:tc>
        <w:tc>
          <w:tcPr>
            <w:tcW w:w="650" w:type="pct"/>
            <w:tcBorders>
              <w:top w:val="nil"/>
              <w:left w:val="nil"/>
              <w:bottom w:val="single" w:sz="8" w:space="0" w:color="auto"/>
              <w:right w:val="single" w:sz="8" w:space="0" w:color="auto"/>
            </w:tcBorders>
            <w:shd w:val="clear" w:color="auto" w:fill="FFFFFF"/>
            <w:vAlign w:val="center"/>
            <w:hideMark/>
          </w:tcPr>
          <w:p w14:paraId="3B53D0D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80</w:t>
            </w:r>
          </w:p>
        </w:tc>
        <w:tc>
          <w:tcPr>
            <w:tcW w:w="500" w:type="pct"/>
            <w:tcBorders>
              <w:top w:val="nil"/>
              <w:left w:val="nil"/>
              <w:bottom w:val="single" w:sz="8" w:space="0" w:color="auto"/>
              <w:right w:val="single" w:sz="8" w:space="0" w:color="auto"/>
            </w:tcBorders>
            <w:shd w:val="clear" w:color="auto" w:fill="FFFFFF"/>
            <w:vAlign w:val="center"/>
            <w:hideMark/>
          </w:tcPr>
          <w:p w14:paraId="1980A61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72</w:t>
            </w:r>
          </w:p>
        </w:tc>
      </w:tr>
      <w:tr w:rsidR="00BF5C9E" w:rsidRPr="00BF5C9E" w14:paraId="06980AA0"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E24824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val="en-US" w:eastAsia="vi-VN"/>
              </w:rPr>
              <w:t>II</w:t>
            </w:r>
          </w:p>
        </w:tc>
        <w:tc>
          <w:tcPr>
            <w:tcW w:w="1900" w:type="pct"/>
            <w:tcBorders>
              <w:top w:val="nil"/>
              <w:left w:val="nil"/>
              <w:bottom w:val="single" w:sz="8" w:space="0" w:color="auto"/>
              <w:right w:val="single" w:sz="8" w:space="0" w:color="auto"/>
            </w:tcBorders>
            <w:shd w:val="clear" w:color="auto" w:fill="FFFFFF"/>
            <w:hideMark/>
          </w:tcPr>
          <w:p w14:paraId="19A6356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Nông thôn</w:t>
            </w:r>
          </w:p>
        </w:tc>
        <w:tc>
          <w:tcPr>
            <w:tcW w:w="450" w:type="pct"/>
            <w:tcBorders>
              <w:top w:val="nil"/>
              <w:left w:val="nil"/>
              <w:bottom w:val="single" w:sz="8" w:space="0" w:color="auto"/>
              <w:right w:val="single" w:sz="8" w:space="0" w:color="auto"/>
            </w:tcBorders>
            <w:shd w:val="clear" w:color="auto" w:fill="FFFFFF"/>
            <w:hideMark/>
          </w:tcPr>
          <w:p w14:paraId="185BB44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11206F1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2452E15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1A9C40A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7768B29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6F5F1363"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1DC3F6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4979B48D"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thị trấn đồng bằng</w:t>
            </w:r>
          </w:p>
        </w:tc>
        <w:tc>
          <w:tcPr>
            <w:tcW w:w="450" w:type="pct"/>
            <w:tcBorders>
              <w:top w:val="nil"/>
              <w:left w:val="nil"/>
              <w:bottom w:val="single" w:sz="8" w:space="0" w:color="auto"/>
              <w:right w:val="single" w:sz="8" w:space="0" w:color="auto"/>
            </w:tcBorders>
            <w:shd w:val="clear" w:color="auto" w:fill="FFFFFF"/>
            <w:hideMark/>
          </w:tcPr>
          <w:p w14:paraId="5D10666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79</w:t>
            </w:r>
          </w:p>
        </w:tc>
        <w:tc>
          <w:tcPr>
            <w:tcW w:w="600" w:type="pct"/>
            <w:tcBorders>
              <w:top w:val="nil"/>
              <w:left w:val="nil"/>
              <w:bottom w:val="single" w:sz="8" w:space="0" w:color="auto"/>
              <w:right w:val="single" w:sz="8" w:space="0" w:color="auto"/>
            </w:tcBorders>
            <w:shd w:val="clear" w:color="auto" w:fill="FFFFFF"/>
            <w:hideMark/>
          </w:tcPr>
          <w:p w14:paraId="59356DCF"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59</w:t>
            </w:r>
          </w:p>
        </w:tc>
        <w:tc>
          <w:tcPr>
            <w:tcW w:w="450" w:type="pct"/>
            <w:tcBorders>
              <w:top w:val="nil"/>
              <w:left w:val="nil"/>
              <w:bottom w:val="single" w:sz="8" w:space="0" w:color="auto"/>
              <w:right w:val="single" w:sz="8" w:space="0" w:color="auto"/>
            </w:tcBorders>
            <w:shd w:val="clear" w:color="auto" w:fill="FFFFFF"/>
            <w:hideMark/>
          </w:tcPr>
          <w:p w14:paraId="71C289B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50</w:t>
            </w:r>
          </w:p>
        </w:tc>
        <w:tc>
          <w:tcPr>
            <w:tcW w:w="650" w:type="pct"/>
            <w:tcBorders>
              <w:top w:val="nil"/>
              <w:left w:val="nil"/>
              <w:bottom w:val="single" w:sz="8" w:space="0" w:color="auto"/>
              <w:right w:val="single" w:sz="8" w:space="0" w:color="auto"/>
            </w:tcBorders>
            <w:shd w:val="clear" w:color="auto" w:fill="FFFFFF"/>
            <w:hideMark/>
          </w:tcPr>
          <w:p w14:paraId="4F2A4AC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65</w:t>
            </w:r>
          </w:p>
        </w:tc>
        <w:tc>
          <w:tcPr>
            <w:tcW w:w="500" w:type="pct"/>
            <w:tcBorders>
              <w:top w:val="nil"/>
              <w:left w:val="nil"/>
              <w:bottom w:val="single" w:sz="8" w:space="0" w:color="auto"/>
              <w:right w:val="single" w:sz="8" w:space="0" w:color="auto"/>
            </w:tcBorders>
            <w:shd w:val="clear" w:color="auto" w:fill="FFFFFF"/>
            <w:hideMark/>
          </w:tcPr>
          <w:p w14:paraId="2483CD1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57</w:t>
            </w:r>
          </w:p>
        </w:tc>
      </w:tr>
      <w:tr w:rsidR="00BF5C9E" w:rsidRPr="00BF5C9E" w14:paraId="0D731314"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D77B3B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hideMark/>
          </w:tcPr>
          <w:p w14:paraId="6436BCA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x</w:t>
            </w:r>
            <w:r w:rsidRPr="00BF5C9E">
              <w:rPr>
                <w:rFonts w:asciiTheme="majorHAnsi" w:eastAsia="Times New Roman" w:hAnsiTheme="majorHAnsi" w:cstheme="majorHAnsi"/>
                <w:color w:val="000000"/>
                <w:sz w:val="26"/>
                <w:szCs w:val="26"/>
                <w:lang w:val="en-US" w:eastAsia="vi-VN"/>
              </w:rPr>
              <w:t>ã </w:t>
            </w:r>
            <w:r w:rsidRPr="00BF5C9E">
              <w:rPr>
                <w:rFonts w:asciiTheme="majorHAnsi" w:eastAsia="Times New Roman" w:hAnsiTheme="majorHAnsi" w:cstheme="majorHAnsi"/>
                <w:color w:val="000000"/>
                <w:sz w:val="26"/>
                <w:szCs w:val="26"/>
                <w:lang w:eastAsia="vi-VN"/>
              </w:rPr>
              <w:t>đồng bằng</w:t>
            </w:r>
          </w:p>
        </w:tc>
        <w:tc>
          <w:tcPr>
            <w:tcW w:w="450" w:type="pct"/>
            <w:tcBorders>
              <w:top w:val="nil"/>
              <w:left w:val="nil"/>
              <w:bottom w:val="single" w:sz="8" w:space="0" w:color="auto"/>
              <w:right w:val="single" w:sz="8" w:space="0" w:color="auto"/>
            </w:tcBorders>
            <w:shd w:val="clear" w:color="auto" w:fill="FFFFFF"/>
            <w:hideMark/>
          </w:tcPr>
          <w:p w14:paraId="22F0944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51</w:t>
            </w:r>
          </w:p>
        </w:tc>
        <w:tc>
          <w:tcPr>
            <w:tcW w:w="600" w:type="pct"/>
            <w:tcBorders>
              <w:top w:val="nil"/>
              <w:left w:val="nil"/>
              <w:bottom w:val="single" w:sz="8" w:space="0" w:color="auto"/>
              <w:right w:val="single" w:sz="8" w:space="0" w:color="auto"/>
            </w:tcBorders>
            <w:shd w:val="clear" w:color="auto" w:fill="FFFFFF"/>
            <w:hideMark/>
          </w:tcPr>
          <w:p w14:paraId="027575C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39</w:t>
            </w:r>
          </w:p>
        </w:tc>
        <w:tc>
          <w:tcPr>
            <w:tcW w:w="450" w:type="pct"/>
            <w:tcBorders>
              <w:top w:val="nil"/>
              <w:left w:val="nil"/>
              <w:bottom w:val="single" w:sz="8" w:space="0" w:color="auto"/>
              <w:right w:val="single" w:sz="8" w:space="0" w:color="auto"/>
            </w:tcBorders>
            <w:shd w:val="clear" w:color="auto" w:fill="FFFFFF"/>
            <w:hideMark/>
          </w:tcPr>
          <w:p w14:paraId="6F345B8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val="en-US" w:eastAsia="vi-VN"/>
              </w:rPr>
              <w:t>32</w:t>
            </w:r>
          </w:p>
        </w:tc>
        <w:tc>
          <w:tcPr>
            <w:tcW w:w="650" w:type="pct"/>
            <w:tcBorders>
              <w:top w:val="nil"/>
              <w:left w:val="nil"/>
              <w:bottom w:val="single" w:sz="8" w:space="0" w:color="auto"/>
              <w:right w:val="single" w:sz="8" w:space="0" w:color="auto"/>
            </w:tcBorders>
            <w:shd w:val="clear" w:color="auto" w:fill="FFFFFF"/>
            <w:hideMark/>
          </w:tcPr>
          <w:p w14:paraId="46A792F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45</w:t>
            </w:r>
          </w:p>
        </w:tc>
        <w:tc>
          <w:tcPr>
            <w:tcW w:w="500" w:type="pct"/>
            <w:tcBorders>
              <w:top w:val="nil"/>
              <w:left w:val="nil"/>
              <w:bottom w:val="single" w:sz="8" w:space="0" w:color="auto"/>
              <w:right w:val="single" w:sz="8" w:space="0" w:color="auto"/>
            </w:tcBorders>
            <w:shd w:val="clear" w:color="auto" w:fill="FFFFFF"/>
            <w:hideMark/>
          </w:tcPr>
          <w:p w14:paraId="25BE37E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42</w:t>
            </w:r>
          </w:p>
        </w:tc>
      </w:tr>
      <w:tr w:rsidR="00BF5C9E" w:rsidRPr="00BF5C9E" w14:paraId="2F262BFA"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2AF934D"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val="en-US" w:eastAsia="vi-VN"/>
              </w:rPr>
              <w:t>III</w:t>
            </w:r>
          </w:p>
        </w:tc>
        <w:tc>
          <w:tcPr>
            <w:tcW w:w="1900" w:type="pct"/>
            <w:tcBorders>
              <w:top w:val="nil"/>
              <w:left w:val="nil"/>
              <w:bottom w:val="single" w:sz="8" w:space="0" w:color="auto"/>
              <w:right w:val="single" w:sz="8" w:space="0" w:color="auto"/>
            </w:tcBorders>
            <w:shd w:val="clear" w:color="auto" w:fill="FFFFFF"/>
            <w:hideMark/>
          </w:tcPr>
          <w:p w14:paraId="74B2AAD0"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Miền núi</w:t>
            </w:r>
          </w:p>
        </w:tc>
        <w:tc>
          <w:tcPr>
            <w:tcW w:w="450" w:type="pct"/>
            <w:tcBorders>
              <w:top w:val="nil"/>
              <w:left w:val="nil"/>
              <w:bottom w:val="single" w:sz="8" w:space="0" w:color="auto"/>
              <w:right w:val="single" w:sz="8" w:space="0" w:color="auto"/>
            </w:tcBorders>
            <w:shd w:val="clear" w:color="auto" w:fill="FFFFFF"/>
            <w:hideMark/>
          </w:tcPr>
          <w:p w14:paraId="054FF67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67AEBAF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3546CAF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77E4C1D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1DED2EB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526CDB9E"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671D53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380D45B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thị trấn miền núi</w:t>
            </w:r>
          </w:p>
        </w:tc>
        <w:tc>
          <w:tcPr>
            <w:tcW w:w="450" w:type="pct"/>
            <w:tcBorders>
              <w:top w:val="nil"/>
              <w:left w:val="nil"/>
              <w:bottom w:val="single" w:sz="8" w:space="0" w:color="auto"/>
              <w:right w:val="single" w:sz="8" w:space="0" w:color="auto"/>
            </w:tcBorders>
            <w:shd w:val="clear" w:color="auto" w:fill="FFFFFF"/>
            <w:hideMark/>
          </w:tcPr>
          <w:p w14:paraId="70387A2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26</w:t>
            </w:r>
          </w:p>
        </w:tc>
        <w:tc>
          <w:tcPr>
            <w:tcW w:w="600" w:type="pct"/>
            <w:tcBorders>
              <w:top w:val="nil"/>
              <w:left w:val="nil"/>
              <w:bottom w:val="single" w:sz="8" w:space="0" w:color="auto"/>
              <w:right w:val="single" w:sz="8" w:space="0" w:color="auto"/>
            </w:tcBorders>
            <w:shd w:val="clear" w:color="auto" w:fill="FFFFFF"/>
            <w:hideMark/>
          </w:tcPr>
          <w:p w14:paraId="41B35A5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19</w:t>
            </w:r>
          </w:p>
        </w:tc>
        <w:tc>
          <w:tcPr>
            <w:tcW w:w="450" w:type="pct"/>
            <w:tcBorders>
              <w:top w:val="nil"/>
              <w:left w:val="nil"/>
              <w:bottom w:val="single" w:sz="8" w:space="0" w:color="auto"/>
              <w:right w:val="single" w:sz="8" w:space="0" w:color="auto"/>
            </w:tcBorders>
            <w:shd w:val="clear" w:color="auto" w:fill="FFFFFF"/>
            <w:hideMark/>
          </w:tcPr>
          <w:p w14:paraId="189CFD7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16</w:t>
            </w:r>
          </w:p>
        </w:tc>
        <w:tc>
          <w:tcPr>
            <w:tcW w:w="650" w:type="pct"/>
            <w:tcBorders>
              <w:top w:val="nil"/>
              <w:left w:val="nil"/>
              <w:bottom w:val="single" w:sz="8" w:space="0" w:color="auto"/>
              <w:right w:val="single" w:sz="8" w:space="0" w:color="auto"/>
            </w:tcBorders>
            <w:shd w:val="clear" w:color="auto" w:fill="FFFFFF"/>
            <w:hideMark/>
          </w:tcPr>
          <w:p w14:paraId="59B58E5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30</w:t>
            </w:r>
          </w:p>
        </w:tc>
        <w:tc>
          <w:tcPr>
            <w:tcW w:w="500" w:type="pct"/>
            <w:tcBorders>
              <w:top w:val="nil"/>
              <w:left w:val="nil"/>
              <w:bottom w:val="single" w:sz="8" w:space="0" w:color="auto"/>
              <w:right w:val="single" w:sz="8" w:space="0" w:color="auto"/>
            </w:tcBorders>
            <w:shd w:val="clear" w:color="auto" w:fill="FFFFFF"/>
            <w:hideMark/>
          </w:tcPr>
          <w:p w14:paraId="2523331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21</w:t>
            </w:r>
          </w:p>
        </w:tc>
      </w:tr>
      <w:tr w:rsidR="00BF5C9E" w:rsidRPr="00BF5C9E" w14:paraId="110A9369"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5320E7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hideMark/>
          </w:tcPr>
          <w:p w14:paraId="5C61014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xã miền núi</w:t>
            </w:r>
          </w:p>
        </w:tc>
        <w:tc>
          <w:tcPr>
            <w:tcW w:w="450" w:type="pct"/>
            <w:tcBorders>
              <w:top w:val="nil"/>
              <w:left w:val="nil"/>
              <w:bottom w:val="single" w:sz="8" w:space="0" w:color="auto"/>
              <w:right w:val="single" w:sz="8" w:space="0" w:color="auto"/>
            </w:tcBorders>
            <w:shd w:val="clear" w:color="auto" w:fill="FFFFFF"/>
            <w:hideMark/>
          </w:tcPr>
          <w:p w14:paraId="107B072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13</w:t>
            </w:r>
          </w:p>
        </w:tc>
        <w:tc>
          <w:tcPr>
            <w:tcW w:w="600" w:type="pct"/>
            <w:tcBorders>
              <w:top w:val="nil"/>
              <w:left w:val="nil"/>
              <w:bottom w:val="single" w:sz="8" w:space="0" w:color="auto"/>
              <w:right w:val="single" w:sz="8" w:space="0" w:color="auto"/>
            </w:tcBorders>
            <w:shd w:val="clear" w:color="auto" w:fill="FFFFFF"/>
            <w:hideMark/>
          </w:tcPr>
          <w:p w14:paraId="5ACDBDB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11</w:t>
            </w:r>
          </w:p>
        </w:tc>
        <w:tc>
          <w:tcPr>
            <w:tcW w:w="450" w:type="pct"/>
            <w:tcBorders>
              <w:top w:val="nil"/>
              <w:left w:val="nil"/>
              <w:bottom w:val="single" w:sz="8" w:space="0" w:color="auto"/>
              <w:right w:val="single" w:sz="8" w:space="0" w:color="auto"/>
            </w:tcBorders>
            <w:shd w:val="clear" w:color="auto" w:fill="FFFFFF"/>
            <w:hideMark/>
          </w:tcPr>
          <w:p w14:paraId="21F38320"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9</w:t>
            </w:r>
          </w:p>
        </w:tc>
        <w:tc>
          <w:tcPr>
            <w:tcW w:w="650" w:type="pct"/>
            <w:tcBorders>
              <w:top w:val="nil"/>
              <w:left w:val="nil"/>
              <w:bottom w:val="single" w:sz="8" w:space="0" w:color="auto"/>
              <w:right w:val="single" w:sz="8" w:space="0" w:color="auto"/>
            </w:tcBorders>
            <w:shd w:val="clear" w:color="auto" w:fill="FFFFFF"/>
            <w:hideMark/>
          </w:tcPr>
          <w:p w14:paraId="15FA293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hideMark/>
          </w:tcPr>
          <w:p w14:paraId="390BB42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14</w:t>
            </w:r>
          </w:p>
        </w:tc>
      </w:tr>
    </w:tbl>
    <w:p w14:paraId="5DC5DDD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Đối với học phí của cơ sở giáo dục mầm non có bán trú đã bao gồm chi phí điện nước tổ chức học bán trú.</w:t>
      </w:r>
    </w:p>
    <w:p w14:paraId="0ADB5706"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Đối với học phí nghề phổ thông trung học cơ sở đã bao gồm chi phí hỗ trợ công tác tổ chức thi lấy chứng chỉ nghề: 26.000 đ/học sinh.</w:t>
      </w:r>
    </w:p>
    <w:p w14:paraId="1BA62838"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 Các trung tâm giáo dục nghề nghiệp - giáo dục thường xuyên có học viên học chương trình trung học cơ sở, trung học phổ thông được áp dụng mức thu học phí tương ứng từng cấp học, từng khu vực của các trường phổ thông công lập trên địa bàn.</w:t>
      </w:r>
    </w:p>
    <w:p w14:paraId="5061B82C"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xml:space="preserve">3. Chế độ miễn, giảm học phí, hỗ trợ chi phí học tập và cơ chế thu, sử dụng, quản lý tiền học phí thực hiện theo quy định tại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Thông tư liên tịch số 09/2016/TTLT-BGDĐT-BTC-BLĐTBXH ngày 30 tháng 3 năm 2016 của liên Bộ Giáo dục và Đào tạo - Bộ Tài chính - Bộ Lao động - Thương binh </w:t>
      </w:r>
      <w:r w:rsidRPr="00BF5C9E">
        <w:rPr>
          <w:rFonts w:asciiTheme="majorHAnsi" w:eastAsia="Times New Roman" w:hAnsiTheme="majorHAnsi" w:cstheme="majorHAnsi"/>
          <w:color w:val="000000"/>
          <w:sz w:val="26"/>
          <w:szCs w:val="26"/>
          <w:lang w:eastAsia="vi-VN"/>
        </w:rPr>
        <w:lastRenderedPageBreak/>
        <w:t>và Xã hội hướng dẫn thực hiện một số điều của Nghị định số 86/2015/NĐ-CP ngày 02 tháng 10 năm 2015 của Chính phủ.</w:t>
      </w:r>
    </w:p>
    <w:p w14:paraId="4FE342EE"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Điều 2. Tổ chức thực hiện</w:t>
      </w:r>
    </w:p>
    <w:p w14:paraId="5C8B813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 Giao Ủy ban nhân dân tỉnh triển khai thực hiện Nghị quyết.</w:t>
      </w:r>
    </w:p>
    <w:p w14:paraId="6EE93C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 Giao Ủy ban nhân dân tỉnh căn cứ tiêu chí, điều kiện, phân loại trường để xây dựng mức thu học phí tại một số trường học ở các địa bàn thuận lợi, phù hợp với các quy định của pháp luật hiện hành và yêu cầu thực tiễn của các cơ sở giáo dục trên địa bàn tỉnh.</w:t>
      </w:r>
    </w:p>
    <w:p w14:paraId="04C6B212"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 Giao Thường trực Hội đồng nhân dân tỉnh, các Ban Hội đồng nhân dân, Tổ đại biểu và các đại biểu Hội đồng nhân dân phối hợp với Ban Thường trực Ủy ban Mặt trận Tổ quốc Việt Nam tỉnh giám sát việc thực hiện Nghị quyết theo nhiệm vụ, quyền hạn đã được pháp luật quy định.</w:t>
      </w:r>
    </w:p>
    <w:p w14:paraId="55AA1303"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Nghị quyết này đã được Hội đồng nhân dân tỉnh Thừa Thiên Huế Khóa VII, Kỳ họp thứ 10 thông qua ngày 14 tháng 7 năm 2020 và có hiệu lực thi hành kể từ ngày 25 tháng 7 năm 2020./.</w:t>
      </w:r>
    </w:p>
    <w:p w14:paraId="78A835F3"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BF5C9E" w:rsidRPr="00BF5C9E" w14:paraId="463B33DD" w14:textId="77777777" w:rsidTr="00BF5C9E">
        <w:trPr>
          <w:tblCellSpacing w:w="0" w:type="dxa"/>
        </w:trPr>
        <w:tc>
          <w:tcPr>
            <w:tcW w:w="4428" w:type="dxa"/>
            <w:shd w:val="clear" w:color="auto" w:fill="FFFFFF"/>
            <w:tcMar>
              <w:top w:w="0" w:type="dxa"/>
              <w:left w:w="108" w:type="dxa"/>
              <w:bottom w:w="0" w:type="dxa"/>
              <w:right w:w="108" w:type="dxa"/>
            </w:tcMar>
            <w:hideMark/>
          </w:tcPr>
          <w:p w14:paraId="682A9FA4" w14:textId="77777777" w:rsidR="00BF5C9E" w:rsidRPr="00BF5C9E" w:rsidRDefault="00BF5C9E" w:rsidP="006C392D">
            <w:pPr>
              <w:shd w:val="clear" w:color="auto" w:fill="FFFFFF"/>
              <w:spacing w:before="120" w:after="120" w:line="234" w:lineRule="atLeast"/>
              <w:jc w:val="lef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i/>
                <w:iCs/>
                <w:color w:val="000000"/>
                <w:sz w:val="26"/>
                <w:szCs w:val="26"/>
                <w:lang w:eastAsia="vi-VN"/>
              </w:rPr>
              <w:br/>
              <w:t>Nơi nhận:</w:t>
            </w:r>
            <w:r w:rsidRPr="00BF5C9E">
              <w:rPr>
                <w:rFonts w:asciiTheme="majorHAnsi" w:eastAsia="Times New Roman" w:hAnsiTheme="majorHAnsi" w:cstheme="majorHAnsi"/>
                <w:b/>
                <w:bCs/>
                <w:i/>
                <w:iCs/>
                <w:color w:val="000000"/>
                <w:sz w:val="26"/>
                <w:szCs w:val="26"/>
                <w:lang w:eastAsia="vi-VN"/>
              </w:rPr>
              <w:br/>
            </w:r>
            <w:r w:rsidRPr="00BF5C9E">
              <w:rPr>
                <w:rFonts w:asciiTheme="majorHAnsi" w:eastAsia="Times New Roman" w:hAnsiTheme="majorHAnsi" w:cstheme="majorHAnsi"/>
                <w:color w:val="000000"/>
                <w:sz w:val="26"/>
                <w:szCs w:val="26"/>
                <w:lang w:eastAsia="vi-VN"/>
              </w:rPr>
              <w:t>- Như Điều 2;</w:t>
            </w:r>
            <w:r w:rsidRPr="00BF5C9E">
              <w:rPr>
                <w:rFonts w:asciiTheme="majorHAnsi" w:eastAsia="Times New Roman" w:hAnsiTheme="majorHAnsi" w:cstheme="majorHAnsi"/>
                <w:color w:val="000000"/>
                <w:sz w:val="26"/>
                <w:szCs w:val="26"/>
                <w:lang w:eastAsia="vi-VN"/>
              </w:rPr>
              <w:br/>
              <w:t>- UBTV Quốc hội, Chính phủ;</w:t>
            </w:r>
            <w:r w:rsidRPr="00BF5C9E">
              <w:rPr>
                <w:rFonts w:asciiTheme="majorHAnsi" w:eastAsia="Times New Roman" w:hAnsiTheme="majorHAnsi" w:cstheme="majorHAnsi"/>
                <w:color w:val="000000"/>
                <w:sz w:val="26"/>
                <w:szCs w:val="26"/>
                <w:lang w:eastAsia="vi-VN"/>
              </w:rPr>
              <w:br/>
              <w:t>- Ban Công tác đại biểu;</w:t>
            </w:r>
            <w:r w:rsidRPr="00BF5C9E">
              <w:rPr>
                <w:rFonts w:asciiTheme="majorHAnsi" w:eastAsia="Times New Roman" w:hAnsiTheme="majorHAnsi" w:cstheme="majorHAnsi"/>
                <w:color w:val="000000"/>
                <w:sz w:val="26"/>
                <w:szCs w:val="26"/>
                <w:lang w:eastAsia="vi-VN"/>
              </w:rPr>
              <w:br/>
              <w:t>- Các Bộ: Tài chính, Giáo dục và Đào tạo;</w:t>
            </w:r>
            <w:r w:rsidRPr="00BF5C9E">
              <w:rPr>
                <w:rFonts w:asciiTheme="majorHAnsi" w:eastAsia="Times New Roman" w:hAnsiTheme="majorHAnsi" w:cstheme="majorHAnsi"/>
                <w:color w:val="000000"/>
                <w:sz w:val="26"/>
                <w:szCs w:val="26"/>
                <w:lang w:eastAsia="vi-VN"/>
              </w:rPr>
              <w:br/>
              <w:t>- Cục Kiểm tra văn bản QPPL- Bộ Tư pháp;</w:t>
            </w:r>
            <w:r w:rsidRPr="00BF5C9E">
              <w:rPr>
                <w:rFonts w:asciiTheme="majorHAnsi" w:eastAsia="Times New Roman" w:hAnsiTheme="majorHAnsi" w:cstheme="majorHAnsi"/>
                <w:color w:val="000000"/>
                <w:sz w:val="26"/>
                <w:szCs w:val="26"/>
                <w:lang w:eastAsia="vi-VN"/>
              </w:rPr>
              <w:br/>
              <w:t>- Thường vụ Tỉnh ủy;</w:t>
            </w:r>
            <w:r w:rsidRPr="00BF5C9E">
              <w:rPr>
                <w:rFonts w:asciiTheme="majorHAnsi" w:eastAsia="Times New Roman" w:hAnsiTheme="majorHAnsi" w:cstheme="majorHAnsi"/>
                <w:color w:val="000000"/>
                <w:sz w:val="26"/>
                <w:szCs w:val="26"/>
                <w:lang w:eastAsia="vi-VN"/>
              </w:rPr>
              <w:br/>
              <w:t>- Đoàn ĐBQH tỉnh;</w:t>
            </w:r>
            <w:r w:rsidRPr="00BF5C9E">
              <w:rPr>
                <w:rFonts w:asciiTheme="majorHAnsi" w:eastAsia="Times New Roman" w:hAnsiTheme="majorHAnsi" w:cstheme="majorHAnsi"/>
                <w:color w:val="000000"/>
                <w:sz w:val="26"/>
                <w:szCs w:val="26"/>
                <w:lang w:eastAsia="vi-VN"/>
              </w:rPr>
              <w:br/>
              <w:t>- Các sở, ban, ngành đoàn thể cấp tỉnh;</w:t>
            </w:r>
            <w:r w:rsidRPr="00BF5C9E">
              <w:rPr>
                <w:rFonts w:asciiTheme="majorHAnsi" w:eastAsia="Times New Roman" w:hAnsiTheme="majorHAnsi" w:cstheme="majorHAnsi"/>
                <w:color w:val="000000"/>
                <w:sz w:val="26"/>
                <w:szCs w:val="26"/>
                <w:lang w:eastAsia="vi-VN"/>
              </w:rPr>
              <w:br/>
              <w:t>- TT HĐND, UBND các huyện, thị xã, TP Huế;</w:t>
            </w:r>
            <w:r w:rsidRPr="00BF5C9E">
              <w:rPr>
                <w:rFonts w:asciiTheme="majorHAnsi" w:eastAsia="Times New Roman" w:hAnsiTheme="majorHAnsi" w:cstheme="majorHAnsi"/>
                <w:color w:val="000000"/>
                <w:sz w:val="26"/>
                <w:szCs w:val="26"/>
                <w:lang w:eastAsia="vi-VN"/>
              </w:rPr>
              <w:br/>
              <w:t>- Công báo tỉnh; Cổng TTĐT tỉnh;</w:t>
            </w:r>
            <w:r w:rsidRPr="00BF5C9E">
              <w:rPr>
                <w:rFonts w:asciiTheme="majorHAnsi" w:eastAsia="Times New Roman" w:hAnsiTheme="majorHAnsi" w:cstheme="majorHAnsi"/>
                <w:color w:val="000000"/>
                <w:sz w:val="26"/>
                <w:szCs w:val="26"/>
                <w:lang w:eastAsia="vi-VN"/>
              </w:rPr>
              <w:br/>
              <w:t>- VP: Lãnh đạo và các CV;</w:t>
            </w:r>
            <w:r w:rsidRPr="00BF5C9E">
              <w:rPr>
                <w:rFonts w:asciiTheme="majorHAnsi" w:eastAsia="Times New Roman" w:hAnsiTheme="majorHAnsi" w:cstheme="majorHAnsi"/>
                <w:color w:val="000000"/>
                <w:sz w:val="26"/>
                <w:szCs w:val="26"/>
                <w:lang w:eastAsia="vi-VN"/>
              </w:rPr>
              <w:br/>
              <w:t>- Lưu: VT.</w:t>
            </w:r>
          </w:p>
        </w:tc>
      </w:tr>
    </w:tbl>
    <w:p w14:paraId="6568D81F" w14:textId="77777777" w:rsidR="00C5469A" w:rsidRDefault="00C5469A" w:rsidP="006C392D">
      <w:pPr>
        <w:jc w:val="left"/>
      </w:pPr>
    </w:p>
    <w:sectPr w:rsidR="00C54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9E"/>
    <w:rsid w:val="000B1B92"/>
    <w:rsid w:val="006C392D"/>
    <w:rsid w:val="00BF5C9E"/>
    <w:rsid w:val="00C546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D08D"/>
  <w15:chartTrackingRefBased/>
  <w15:docId w15:val="{40288C40-B660-4A14-90A8-EF9A4CD9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C9E"/>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cp:lastPrinted>2021-07-26T02:50:00Z</cp:lastPrinted>
  <dcterms:created xsi:type="dcterms:W3CDTF">2021-07-26T02:47:00Z</dcterms:created>
  <dcterms:modified xsi:type="dcterms:W3CDTF">2021-07-26T02:50:00Z</dcterms:modified>
</cp:coreProperties>
</file>